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travaux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Ricard, Jean/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oscillations de relaxation/ multivibrateur astable/ </w:t>
            </w:r>
          </w:p>
        </w:tc>
      </w:tr>
    </w:tbl>
    <w:p>
      <w:pPr>
        <w:pStyle w:val="Heading3"/>
      </w:pPr>
      <w:r>
        <w:t>Résumé :</w:t>
      </w:r>
    </w:p>
    <w:p>
      <w:r>
        <w:t>Ce deuxième fascicule de travaux pratiques poursuit l'étude expérimentale de l'électronique à tubes en abordant des montages plus élaborés que ceux présentés dans le premier volume. l'ouvrage est destiné aux élèves techniciens, aux étudiants des sections supérieures techniques et aux laboratoires d'enseignement de l'électronique. le livre propose une série de manipulations permettant d'étudier le fonctionnement de la diode à cathode de tungstène, du tube à rayons cathodiques et des circuits d'oscillations de relaxation. les expériences conduisent également à l'analyse des caractéristiques fréquentielles des amplificateurs à résistance, de l'influence de la contre-réaction, du fonctionnement des amplificateurs à charge cathodique et des stabilisateurs de tension continue. une partie importante est consacrée aux montages à tubes spéciaux, notamment les thyratrons et les multivibrateurs astables. l'approche est essentiellement pratique : chaque manipulation s'appuie sur des montages réels, des mesures électriques, des relevés de courbes et l'interprétation des résultats expérimentaux. l'objectif est de développer la maîtrise des techniques de laboratoire et la compréhension du comportement des circuits électroniques analogiques.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