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T6, formulaire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2859783091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ingénierie des structures/ mécanique des structures/ calcul des structures/ </w:t>
            </w:r>
          </w:p>
        </w:tc>
      </w:tr>
    </w:tbl>
    <w:p>
      <w:pPr>
        <w:pStyle w:val="Heading3"/>
      </w:pPr>
      <w:r>
        <w:t>Résumé :</w:t>
      </w:r>
    </w:p>
    <w:p>
      <w:r>
        <w:t>Ce formulaire, qui vient compléter les cinq tomes de l'ouvrage précédemment parus, présente, sous la forme synthétique de tableaux ou d'abaques, les éléments essentiels développés dans les différents volumes : rappels indispensables de résistance des matériaux, actions et sollicitations, fondations superficielles, dallages (tome 1) ; fondations profondes, dalles, poutres, planchers (tome 2) ; poteaux (béton, acier, mixtes), portiques, ossatures, voiles, murs (tome 3) ; contreventement des bâtiments, méthode des bielles et tirants, consoles courtes, escaliers et exemple de calcul de bâtiment (tome 4) ; poutres courbes et gauches, murs de soutènement, réservoirs rectangulaires et circulaires. coques de révolution (tome 5). Des exemples d'application, systématiquement associés aux formules, tableaux ou abaques correspondants - et présentés, en général, en vis-à-vis de ceux-ci -, viennent compléter cet aide-mémoire et en font un très commode outil de travail pour l'ingénieur. Une deuxième partie offre en complément un ensemble de programmes de calcul sous Excel relatifs aux éléments développés dans les différents tomes.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