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Votre atelier Architecture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Andres, Clay/ </w:t>
            </w:r>
          </w:p>
        </w:tc>
      </w:tr>
      <w:tr>
        <w:trPr>
          <w:trHeight w:val="567"/>
        </w:trPr>
        <w:tc>
          <w:tcPr>
            <w:tcW w:type="dxa" w:w="3000"/>
          </w:tcPr>
          <w:p>
            <w:r>
              <w:t>Adresse bib.</w:t>
            </w:r>
          </w:p>
        </w:tc>
        <w:tc>
          <w:tcPr>
            <w:tcW w:type="dxa" w:w="7000"/>
          </w:tcPr>
          <w:p>
            <w:r>
              <w:t xml:space="preserve">First interactive/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2844271251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Web/ javascript/ </w:t>
            </w:r>
          </w:p>
        </w:tc>
      </w:tr>
    </w:tbl>
    <w:p>
      <w:pPr>
        <w:pStyle w:val="Heading3"/>
      </w:pPr>
      <w:r>
        <w:t>Résumé :</w:t>
      </w:r>
    </w:p>
    <w:p>
      <w:r>
        <w:t>Ce livre propose une approche pédagogique de la création et de l’organisation d’un site Web. Il guide le lecteur dans la compréhension de l’architecture Web, depuis la conception jusqu’à la publication, en passant par les technologies fondamentales et la gestion de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