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Annotations automatiques et recherche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Desclés, Jean-Pierre/ Le Priol, Florence/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Cognition et traitement de l'information(N°:None)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9782746222267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 recherche d'information/ Annotation automatique/ </w:t>
            </w:r>
          </w:p>
        </w:tc>
      </w:tr>
    </w:tbl>
    <w:p>
      <w:pPr>
        <w:pStyle w:val="Heading3"/>
      </w:pPr>
      <w:r>
        <w:t>Résumé :</w:t>
      </w:r>
    </w:p>
    <w:p>
      <w:r>
        <w:t>Les recherches d'informations proposées dans de grandes bases de documents textuels fermées, ou ouvertes comme le Web, se font à travers des moteurs de recherche qui visent à rapprocher, d'une part les questions posées, d'autre part des documents qui sont censés donner les réponses à ces questions. De plus en plus, différents acteurs confrontés à des catégorisations des savoirs et à leur accès par des Systèmes de Recherche d'Informations (SRI), comme les documentalistes, les journalistes, les chercheurs en sciences humaines et sociales et en sciences "dures", réclament de nouveaux moyens d'indexation des documents fondés sur les contenus. Des approches plus linguistiques proposent l'utilisation de nouvelles méthodes d'identification automatique de relations sémantiques discursives associées à des segments textuels variés. Les nouveaux SRI proposés sont fondés sur des annotations automatiques de textes, qui opèrent avec une sémantique discursive permettant ainsi de mieux accéder à l'information, et à la catégorisation.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