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Vibrations et chocs mécaniques. T5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Lalanne,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choc et vibration/ </w:t>
            </w:r>
          </w:p>
        </w:tc>
      </w:tr>
    </w:tbl>
    <w:p>
      <w:pPr>
        <w:pStyle w:val="Heading3"/>
      </w:pPr>
      <w:r>
        <w:t>Résumé :</w:t>
      </w:r>
    </w:p>
    <w:p>
      <w:r>
        <w:t>Elaboration des spécifications détaille le processus d'établissement d'une spécification à partir du profil de vie du matériel, avec prise en compte d'un coefficient de garantie permettant de démontrer que le matériel résistera à son environnement vibratoire avec une probabilité donnée.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