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Adobe Flash CS3 professional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Freenet, Sofor/ </w:t>
            </w:r>
          </w:p>
        </w:tc>
      </w:tr>
      <w:tr>
        <w:trPr>
          <w:trHeight w:val="567"/>
        </w:trPr>
        <w:tc>
          <w:tcPr>
            <w:tcW w:type="dxa" w:w="3000"/>
          </w:tcPr>
          <w:p>
            <w:r>
              <w:t>Adresse bib.</w:t>
            </w:r>
          </w:p>
        </w:tc>
        <w:tc>
          <w:tcPr>
            <w:tcW w:type="dxa" w:w="7000"/>
          </w:tcPr>
          <w:p>
            <w:r>
              <w:t xml:space="preserve">Peachpit Press/ </w:t>
            </w:r>
          </w:p>
        </w:tc>
      </w:tr>
      <w:tr>
        <w:trPr>
          <w:trHeight w:val="567"/>
        </w:trPr>
        <w:tc>
          <w:tcPr>
            <w:tcW w:type="dxa" w:w="3000"/>
          </w:tcPr>
          <w:p>
            <w:r>
              <w:t>Nombre de Pages</w:t>
            </w:r>
          </w:p>
        </w:tc>
        <w:tc>
          <w:tcPr>
            <w:tcW w:type="dxa" w:w="7000"/>
          </w:tcPr>
          <w:p>
            <w:r>
              <w:t>VII-335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Classroom in a book(N°:None)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9782744081996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Flash CS3/ ActionScript 3.0/ </w:t>
            </w:r>
          </w:p>
        </w:tc>
      </w:tr>
    </w:tbl>
    <w:p>
      <w:pPr>
        <w:pStyle w:val="Heading3"/>
      </w:pPr>
      <w:r>
        <w:t>Résumé :</w:t>
      </w:r>
    </w:p>
    <w:p>
      <w:r>
        <w:t>Ce manuel est un guide pratique destiné à apprendre Adobe Flash CS3 Professional, avec une approche progressive basée sur des exercices. Il couvre la création d’animations, l’interactivité avec ActionScript 3.0, ainsi que la gestion des médias et la publication de projets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