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Epitaxy of semiconductor layered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Tung, R. T./ Dawson, L. R./ Gunshor, R. L./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102)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0931837707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epitaxy/ crystal growth/ </w:t>
            </w:r>
          </w:p>
        </w:tc>
      </w:tr>
    </w:tbl>
    <w:p>
      <w:pPr>
        <w:pStyle w:val="Heading3"/>
      </w:pPr>
      <w:r>
        <w:t>Résumé :</w:t>
      </w:r>
    </w:p>
    <w:p>
      <w:r>
        <w:t xml:space="preserve">This volume contains the proceedings of the mrs symposium on epitaxy of semiconductor layered structures, held in boston, massachusetts, in late 1987. it presents research on the growth, characterization, and application of epitaxial semiconductor layers, which were becoming increasingly important for high-speed electronics, optoelectronics, quantum structures, and advanced integrated circuits. </w:t>
        <w:br/>
        <w:br/>
        <w:t>the book focuses on techniques for producing atomically controlled semiconductor films and multilayers, including molecular beam epitaxy (MBE), metal-organic chemical vapor deposition (MOCVD), selective epitaxy, strained-layer growth, and heterostructure engineering. these technologies formed the foundation of many modern semiconductor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