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sans fil émergents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Chaouchi, Hakima/ Pujolle, Guy/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466-XII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IC2. Réseaux et télécoms(N°:None)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9782746218895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de communication sans fil/ réseaux locaux sans fil/ </w:t>
            </w:r>
          </w:p>
        </w:tc>
      </w:tr>
    </w:tbl>
    <w:p>
      <w:pPr>
        <w:pStyle w:val="Heading3"/>
      </w:pPr>
      <w:r>
        <w:t>Résumé :</w:t>
      </w:r>
    </w:p>
    <w:p>
      <w:r>
        <w:t>Différentes technologies de transmission radio terrestre ont été développées par différents organismes qui se regroupent principalement en deux familles : la famille des réseaux sans fil IEEE (WiMedia, WiFi, WiMax, WiMobile) et la famille des réseaux cellulaires mobiles (1G, 2G, 3G, …). Ces technologies radio diffèrent principalement par la couverture radio ainsi que la largeur de bande passante disponible et la capacité de supporter des applications multimédia (Voix, donnée, image). Ce traité a pour objectif de décrire les normes de communication sans fil développées par l'organisme de standardisation IEEE en particulier les technologies sans fil personnel (WPAN), local (WLAN), métropolitaine (WMAN) et régional (WRAN). Il s'agit principalement des technologies Wi-xx : WiMedia, WiFi, WiMax et WiRan. Plusieurs normes de communication sans fil sont en train de voir le jour et le prix de ces équipements devient même très attractif, ce qui contribue au succès de ces technologies. On parle même de technologies concurrentes aux technologies cellulaires de type 3G vu la largeur de bande importante offerte par ces technologies sans fil IEEE.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