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machines.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Spinnler, Georges/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545-550. Index</w:t>
            </w:r>
          </w:p>
        </w:tc>
      </w:tr>
      <w:tr>
        <w:trPr>
          <w:trHeight w:val="567"/>
        </w:trPr>
        <w:tc>
          <w:tcPr>
            <w:tcW w:type="dxa" w:w="3000"/>
          </w:tcPr>
          <w:p>
            <w:r>
              <w:t>Numéro d'Identification</w:t>
            </w:r>
          </w:p>
        </w:tc>
        <w:tc>
          <w:tcPr>
            <w:tcW w:type="dxa" w:w="7000"/>
          </w:tcPr>
          <w:p>
            <w:r>
              <w:t>288074301X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mécanique/ </w:t>
            </w:r>
          </w:p>
        </w:tc>
      </w:tr>
    </w:tbl>
    <w:p>
      <w:pPr>
        <w:pStyle w:val="Heading3"/>
      </w:pPr>
      <w:r>
        <w:t>Résumé :</w:t>
      </w:r>
    </w:p>
    <w:p>
      <w:r>
        <w:t>Cet ouvrage de synthèse s'applique donc à toutes les machines et s'adresse aux personnes actives dans la construction mécanique ainsi qu'aux étudiants des écoles d'ingénieurs. Quant au lecteur qui pourrait redouter l'ampleur de la matière, il découvrira dans chaque chapitre un sujet bien délimité et de nombreux renvois facilitant la recherche dans d'autres parties de l'ouvrage. Le premier volume expose les aspects statiques de la conception des machines, le deuxième traite les grands mouvements et la dynamique, enfin le troisième contient l'analyse de quelques problèmes particuliers, le dimensionnement des organes et des notions d'architecture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