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structures par les méthodes numériques et matricielles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Wang, Ping-Chun/ Goldschild, Raymond/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XIV-434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des structures/ matrice de flexibilité/ résistance des matériaux/ mécanique des structures/ </w:t>
            </w:r>
          </w:p>
        </w:tc>
      </w:tr>
    </w:tbl>
    <w:p>
      <w:pPr>
        <w:pStyle w:val="Heading3"/>
      </w:pPr>
      <w:r>
        <w:t>Résumé :</w:t>
      </w:r>
    </w:p>
    <w:p>
      <w:r>
        <w:t>Calcul des structures par les méthodes numériques et matricielles de Ping-Chun Wang présente les méthodes modernes de calcul appliquées à l'analyse des structures de génie civil et de mécanique. L'ouvrage introduit les formulations matricielles utilisées pour modéliser le comportement des poutres, treillis, portiques et structures continues, ainsi que leur résolution à l'aide des calculateurs électroniques.</w:t>
        <w:br/>
        <w:br/>
        <w:t>L'auteur explique les principes de l'algèbre matricielle, la formulation des équations d'équilibre, les méthodes de rigidité et de flexibilité, ainsi que les techniques numériques permettant de traiter des structures complexes. Le livre constitue une transition entre les méthodes classiques de résistance des matériaux et les méthodes informatiques qui ont conduit au développement de l'analyse par éléments finis.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