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Animal clinical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Evans, G.O./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9781420080117</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Toxicologists/ </w:t>
            </w:r>
          </w:p>
        </w:tc>
      </w:tr>
    </w:tbl>
    <w:p>
      <w:pPr>
        <w:pStyle w:val="Heading3"/>
      </w:pPr>
      <w:r>
        <w:t>Résumé :</w:t>
      </w:r>
    </w:p>
    <w:p>
      <w:r>
        <w:t>In addition to tests recommended by regulatory authorities, this globally relevant resource includes information about clinical chemistry tests as well as hepato-, nephro-, cardio-, and endocrine toxicity. It also covers pre-analytical and analytical variables, which play a far more important role with interpreting data from animal studies as compared to human studies when variables can be well controlled with less physiological effect. Furthermore, this edition takes its discussion of biomarkers to the next level, exploring newer and related investigations, such as metabolomics/NMR and multiplex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