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électronique des moteurs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Pinard,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9782100511150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 électrique/ </w:t>
            </w:r>
          </w:p>
        </w:tc>
      </w:tr>
    </w:tbl>
    <w:p>
      <w:pPr>
        <w:pStyle w:val="Heading3"/>
      </w:pPr>
      <w:r>
        <w:t>Résumé :</w:t>
      </w:r>
    </w:p>
    <w:p>
      <w:r>
        <w:t>Cet ouvrage dresse un large panorama des aspects théoriques et appliqués de la commande électronique des moteurs électriques, et plus largement des aspects électrotechniques de la régulation industrielle et des asservissements :</w:t>
        <w:br/>
        <w:br/>
        <w:br/>
        <w:br/>
        <w:t>environnement théorique (outils mathématiques, représentations des systèmes...),</w:t>
        <w:br/>
        <w:br/>
        <w:t>différents matériels, composants de l'électronique de puissance (microcontrôleurs, processeurs de signal, interrupteurs, capteurs...) ou machines électriques (moteurs, alternateurs),</w:t>
        <w:br/>
        <w:br/>
        <w:t>outils méthodologiques et pratiques (conception des systèmes, choix des matériels adaptés au type de process, mise en oeuvre).</w:t>
        <w:br/>
        <w:br/>
        <w:t>Cette 2e édition, mise à jour et enrichie, consacre une plus large place aux logiciels de CAO : SIMULINK pour la simulation et LabVIEW pour l'expérimentation (représentation de la transformation de Park sur les moteurs triphasés et visualisation de régimes transitoires du couple des moteurs synchrone et asynchrone).</w:t>
        <w:br/>
        <w:br/>
        <w:br/>
        <w:br/>
        <w:t>Illustré de très nombreux exemples industriels, cet ouvrage résolument appliqué est l'outil de travail indispensable des électroniciens, électrotechniciens, automaticiens, spécialistes de la régulation et des asservissements.</w:t>
        <w:br/>
        <w:br/>
        <w:br/>
        <w:br/>
        <w:t>Public : Concepteurs en électrotechnique ; Électrotechniciens installateurs et utilisateurs ; Élèves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