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Edition</w:t>
            </w:r>
          </w:p>
        </w:tc>
        <w:tc>
          <w:tcPr>
            <w:tcW w:type="dxa" w:w="7000"/>
          </w:tcPr>
          <w:p>
            <w:r>
              <w:t>2e éd. rev. et corr.</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681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2859783466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ingénierie des structures/ fraude et fissuration/ calcul des structures/ </w:t>
            </w:r>
          </w:p>
        </w:tc>
      </w:tr>
    </w:tbl>
    <w:p>
      <w:pPr>
        <w:pStyle w:val="Heading3"/>
      </w:pPr>
      <w:r>
        <w:t>Résumé :</w:t>
      </w:r>
    </w:p>
    <w:p>
      <w:r>
        <w:t>Ce cours, conforme aux règles BAEL 91, BPEL 91, CM66, Eurocodes 3 et 4 et DTU 23.1, a pour objet le dimensionnement et le calcul de l'ensemble des éléments courants de structures de bâtiment.</w:t>
        <w:br/>
        <w:br/>
        <w:t>Après le tome I qui portait sur les rappels indispensables de Résistance des Matériaux, les actions et sollicitations, les fondations superficielles, ce deuxième tome traite des fondations profondes (pieux, semelles sur pieux), des dalles en béton armé rectangulaires, circulaires ou de forme quelconque, des dalles précontraintes à torons non adhérents, des planchers à poutres préfabriquées en béton armé, des planchers métalliques et des planchers en bois.</w:t>
        <w:br/>
        <w:br/>
        <w:t>Un exposé des théories usuelles est suivi d'exercices d'application, de formulaires et de programmes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