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de puissance pour l'industrie et les transports.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Patin, Nicolas/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Génie électrique(N°:None)</w:t>
            </w:r>
          </w:p>
        </w:tc>
      </w:tr>
      <w:tr>
        <w:trPr>
          <w:trHeight w:val="567"/>
        </w:trPr>
        <w:tc>
          <w:tcPr>
            <w:tcW w:type="dxa" w:w="3000"/>
          </w:tcPr>
          <w:p>
            <w:r>
              <w:t>Notes Générales</w:t>
            </w:r>
          </w:p>
        </w:tc>
        <w:tc>
          <w:tcPr>
            <w:tcW w:type="dxa" w:w="7000"/>
          </w:tcPr>
          <w:p>
            <w:r>
              <w:t>Bibliogr. p.p.145 -149</w:t>
            </w:r>
          </w:p>
        </w:tc>
      </w:tr>
      <w:tr>
        <w:trPr>
          <w:trHeight w:val="567"/>
        </w:trPr>
        <w:tc>
          <w:tcPr>
            <w:tcW w:type="dxa" w:w="3000"/>
          </w:tcPr>
          <w:p>
            <w:r>
              <w:t>Numéro d'Identification</w:t>
            </w:r>
          </w:p>
        </w:tc>
        <w:tc>
          <w:tcPr>
            <w:tcW w:type="dxa" w:w="7000"/>
          </w:tcPr>
          <w:p>
            <w:r>
              <w:t>9781784050627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de puissance/ alimentations à découpage/ </w:t>
            </w:r>
          </w:p>
        </w:tc>
      </w:tr>
    </w:tbl>
    <w:p>
      <w:pPr>
        <w:pStyle w:val="Heading3"/>
      </w:pPr>
      <w:r>
        <w:t>Résumé :</w:t>
      </w:r>
    </w:p>
    <w:p>
      <w:r>
        <w:t>Cet ouvrage traite des aspects techniques tels que la séparation classique entre alimentations isolées et non isolées, et la commutation douce au travers d’un convertisseur particulier. Il répond au problème de la régulation de la tension de sortie des alimentations à découpage sous l’angle de la modélisation et de l’obtention de fonctions de transfert des alimentations à découpage.Electronique de puissance pour l’industrie et les transports 3 propose une étude de cas d’une alimentation isolée Flyback dont la conception complète est présentée : les composants actifs et passifs sont dimensionnés sur la base du cahier des charges fixé initialement. Une attention particulière est portée aux condensateurs de sortie du convertisseur et à l’ensemble des organes environnants.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