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gravillons recyclés carbonatés ou non sur le comportement des bétons autoplaçants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 Fadhila/ Behim, Mourad/ </w:t>
            </w:r>
          </w:p>
        </w:tc>
      </w:tr>
      <w:tr>
        <w:trPr>
          <w:trHeight w:val="567"/>
        </w:trPr>
        <w:tc>
          <w:tcPr>
            <w:tcW w:type="dxa" w:w="3000"/>
          </w:tcPr>
          <w:p>
            <w:r>
              <w:t>Nombre de Pages</w:t>
            </w:r>
          </w:p>
        </w:tc>
        <w:tc>
          <w:tcPr>
            <w:tcW w:type="dxa" w:w="7000"/>
          </w:tcPr>
          <w:p>
            <w:r>
              <w:t>208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déchets/ béton autoplaçant (bap)/ gravillons recyclés/ </w:t>
            </w:r>
          </w:p>
        </w:tc>
      </w:tr>
    </w:tbl>
    <w:p>
      <w:pPr>
        <w:pStyle w:val="Heading3"/>
      </w:pPr>
      <w:r>
        <w:t>Résumé :</w:t>
      </w:r>
    </w:p>
    <w:p>
      <w:r>
        <w:t>Dans les pays industrialisés, chaque habitant consomme annuellement en moyenne plus de 1m3 de béton, faisant de ce matériau le plus employé dans le secteur de la construction. De ce fait, la démolition des vieilles constructions et celles détruites par les séismes génèrent de</w:t>
        <w:br/>
        <w:br/>
        <w:t>grosses quantités de décombres de béton. Ces décombres sont souvent abandonnés en décharges sauvages. Mais transformés par concassage constituent une ressource abondante de granulats de béton ‘recyclés’ (GBR). L’emploi des GBR dans les bétons en vue de remplacer les granulats naturels (GN) constitue une approche très intéressante. En effet, la valorisation de ces déchets peut s’intégrer dans le contexte du développement durable, en contribuant au maintien durable</w:t>
        <w:br/>
        <w:br/>
        <w:t>de ressources limitées non renouvelables. Toutefois, les GBR présentent des propriétés de moindre qualité que celles des granulats naturels (GN), telles qu’un pouvoir d’absorption d’eau élevé, une porosité accrue et des propriétés mécaniques plus faibles. Ces caractéristiques influencent négativement les propriétés des bétons dans lesquels ils sont incorporés et limitent également leur utilisation à des taux d’incorporation faibles. Ces limitations deviennent plus prononcées lorsque ces granulats recyclés sont destinés à la confection de bétons autoplaçants (BAP), qui sont des bétons connus pour leurs exigences particulières en termes de fluidité.</w:t>
        <w:br/>
        <w:br/>
        <w:t>Afin de surmonter ces limitations, le traitement des granulats de béton recyclés par carbonatation naturelle constitue le but principal de cette recherche. Cette approche vise à améliorer les propriétés du vieux mortier adhérant aux granulats de béton recyclés, principalement par le remplissage de leur porosité grâce à la précipitation du carbonate de calcium formé durant la carbonatation.</w:t>
        <w:br/>
        <w:br/>
        <w:t>Les résultats obtenus sont encourageants et ouvrent la voie à la technique de carbonatation. En effet, le traitement a favorisé l’amélioration, d’une part, des caractéristiques intrinsèques des gravillons, notamment par une augmentation de masse, une réduction de leur porosité et de leur capacité d’absorption d’eau, ainsi qu’une augmentation de leurs résistances au choc et à l’usure.</w:t>
        <w:br/>
        <w:br/>
        <w:t>D’autre part, l’utilisation des GBR à l’état carbonaté a permis d’améliorer l’écoulement des BAP à l’état frais même dans le cas de remplacement total des GN, contrairement à leur erformances mécaniques et de durabilité.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