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Managing service level quality, across wireless and fixed networks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Massam, Peter/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Sons,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.p.p 151-160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9780470848487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performance monitoring/ service level management/ </w:t>
            </w:r>
          </w:p>
        </w:tc>
      </w:tr>
    </w:tbl>
    <w:p>
      <w:pPr>
        <w:pStyle w:val="Heading3"/>
      </w:pPr>
      <w:r>
        <w:t>Résumé :</w:t>
      </w:r>
    </w:p>
    <w:p>
      <w:r>
        <w:t>The book focuses on the transition from traditional IP networks to wireless 2G/2.5G/3G environments (GSM, GPRS, UMTS) and studies how QoS mechanisms can ensure reliable end-to-end service delivery across heterogeneous communication infrastructures.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