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Forage Rotary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Motard, P./ American association of oilwell drilling contractors/ Petroleum extension service./ </w:t>
            </w:r>
          </w:p>
        </w:tc>
      </w:tr>
      <w:tr>
        <w:trPr>
          <w:trHeight w:val="567"/>
        </w:trPr>
        <w:tc>
          <w:tcPr>
            <w:tcW w:type="dxa" w:w="3000"/>
          </w:tcPr>
          <w:p>
            <w:r>
              <w:t>Adresse bib.</w:t>
            </w:r>
          </w:p>
        </w:tc>
        <w:tc>
          <w:tcPr>
            <w:tcW w:type="dxa" w:w="7000"/>
          </w:tcPr>
          <w:p>
            <w:r>
              <w:t xml:space="preserve">Edition technip/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forage rotary/ </w:t>
            </w:r>
          </w:p>
        </w:tc>
      </w:tr>
    </w:tbl>
    <w:p>
      <w:pPr>
        <w:pStyle w:val="Heading3"/>
      </w:pPr>
      <w:r>
        <w:t>Résumé :</w:t>
      </w:r>
    </w:p>
    <w:p>
      <w:r>
        <w:t>Le livre explique le fonctionnement du forage rotary, procédé principal utilisé pour le creusement des puits pétroliers profonds. Il décrit les différentes étapes des opérations conventionnelles de forage, depuis l’installation de l’appareil jusqu’au tubage et à la cimentation du puits.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