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T2, Oscillations - hyperfréquences tubes a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Guillien, Robert/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 universitaires de france/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"Euclide" introduction aux études scientifiques(N°:None)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oscillation électronique/ tube à gaz/ </w:t>
            </w:r>
          </w:p>
        </w:tc>
      </w:tr>
    </w:tbl>
    <w:p>
      <w:pPr>
        <w:pStyle w:val="Heading3"/>
      </w:pPr>
      <w:r>
        <w:t>Résumé :</w:t>
      </w:r>
    </w:p>
    <w:p>
      <w:r>
        <w:t>L’ouvrage présente les principes des circuits oscillants, la production des oscillations électroniques et le fonctionnement des oscillateurs à tubes. Il examine également les propriétés des ondes électromagnétiques à haute fréquence, les techniques de transmission et les dispositifs spécialisés tels que les magnétrons, klystrons et tubes à gaz. L’auteur décrit les applications des hyperfréquences dans les domaines de la radioélectricité, des télécommunications et des systèmes industriels. Le livre aborde enfin les méthodes de mesure, de réglage et de maintenance des équipements électroniques haute fréquence, offrant ainsi une référence importante en électronique classique et en technologie radioélectrique.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