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Tendance des précipitations et évolution des écoulements dans le cadre du changement climatique dans le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AMARCHI, Amina/ ZEGHADNIA, Lotfi/ Université  Badji Mokhtar/ </w:t>
            </w:r>
          </w:p>
        </w:tc>
      </w:tr>
      <w:tr>
        <w:trPr>
          <w:trHeight w:val="567"/>
        </w:trPr>
        <w:tc>
          <w:tcPr>
            <w:tcW w:type="dxa" w:w="3000"/>
          </w:tcPr>
          <w:p>
            <w:r>
              <w:t>Nombre de Pages</w:t>
            </w:r>
          </w:p>
        </w:tc>
        <w:tc>
          <w:tcPr>
            <w:tcW w:type="dxa" w:w="7000"/>
          </w:tcPr>
          <w:p>
            <w:r>
              <w:t>181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hydrolique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dimensions hydrologiques/ station hydrologique/ météorologiques et agricoles/ </w:t>
            </w:r>
          </w:p>
        </w:tc>
      </w:tr>
    </w:tbl>
    <w:p>
      <w:pPr>
        <w:pStyle w:val="Heading3"/>
      </w:pPr>
      <w:r>
        <w:t>Résumé :</w:t>
      </w:r>
    </w:p>
    <w:p>
      <w:r>
        <w:t>La sécheresse est un défi environnemental majeur affectant la disponibilité de l'eau, l'agriculture et la stabilité socioéconomique dans le nord-est de l'Algérie. En tant que phénomène environnemental répandu, elle exerce également des effets négatifs importants sur la productivité agricole et la stabilité des écosystèmes. Une évaluation approfondie de la sécheresse est ainsi essentielle pour une gestion efficace des ressources en eau et la mise en place de stratégies de surveillance adaptées.</w:t>
        <w:br/>
        <w:br/>
        <w:t>Cette étude vise à évaluer la performance de plusieurs méthodes d’estimation des indices de sécheresse à travers trois secteurs climatiques distincts — Nord (méditerranéen), Centre (semi-aride) et Sud (aride)</w:t>
        <w:br/>
        <w:br/>
        <w:t>— délimités à l’aide d’un regroupement K-Means des données météorologiques et hydrologiques couvrant la période de 1975 à 2021. Des données mensuelles des précipitations et des températures, collectées depuis 10 stations météorologiques, ainsi que des données de débits de cours d’eau provenant de quatre stations hydrologiques, ont été utilisées pour calculer trois indices de sécheresse majeurs :</w:t>
        <w:br/>
        <w:br/>
        <w:t>l’Indice de Précipitations Standardisé (SPI), l’Indice de Reconnaissance de la Sécheresse (RDI) et l’Indice de Sécheresse des Débits (SDI). Ces indices ont été calculés à l’aide du logiciel DrinC, de la programmation Python et de méthodes empiriques à différentes échelles temporelles (1, 3, 6 et 12 mois).Parallèlement aux analyses classiques, cette recherche adopte une approche hybride innovante combinant les méthodes FITA (Frequency Innovative Trends and Statistics Analysis) et ITA (Innovative Trend Analysis). Cette approche permet de dépasser les limites des analyses temporelles et spatiales traditionnelles en intégrant l’étude des tendances évolutives, incluant les variations de fréquence et d’intensité des épisodes de sécheresse.</w:t>
        <w:br/>
        <w:br/>
        <w:t>Les résultats révèlent des schémas climatiques relativement homogènes en termes de précipitations et de températures, mais une hétérogénéité notable dans les débits. Le Nord présente des conditions proches de la normale (SPI-moy = 0,00023, RDI-moy = 0,003), le Centre montre un assèchement en cours (SPI-moy = 0,0007, RDI-moy = 0,0008), tandis que le Sud est confronté à une aridification sévère (SPI-moy = -0,0004, RDI-moy = -0,0007). Des tests non paramétriques (Kruskal-Wallis, Mann-Kendall modifié, Theil-Sen) ont mis en évidence des tendances significatives de dessèchement, notamment à Oum El Bouaghi (Z = -8,620, p &lt; 0,0001) et Khenchela (Z = -6,357, p &lt; 0,0001).</w:t>
        <w:br/>
        <w:br/>
        <w:t>L’analyse de l’Indice de Sécheresse des Débits (SDI) a montré un débit globalement stable, bien que des risques de sécheresse à court terme aient été identifiés à Medjaz Amar et au barrage de Zerdaza. Toutefois, l’approche FITA-ITA a permis d’observer des évolutions plus fines : par exemple, El Kalla présente une tendance SPI12 à la hausse à 100 % (pente ITA = 1,160), tandis que Khenchela affiche une tendance SPI12 à la baisse à 100 % (pente ITA = -0,846). À Medjaz Amar, bien que le RDI12 connaisse une baisse marquée de 82,61 % (pente ITA = -1,294), le SDI12 augmente à 100 % (pente ITA = 0,797), reflétant une amélioration des débits malgré une sécheresse agricole persistante.</w:t>
        <w:br/>
        <w:br/>
        <w:t>Ces dynamiques complexes signalent des risques accrus pour les nappes phréatiques, la désertification, ainsi que pour les écosystèmes aquatiques. Elles soulignent l’urgence de mettre en œuvre des mesures d’adaptation ciblées, reposant sur une surveillance intégrée et continue de la sécheresse, prenant en compte à la fois les dimensions hydrologiques, météorologiques et agricoles à différentes échelles temporelles.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