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caractérisation phénotypique et génotypique des Actinomycètes endophytes associées  aux herbacées du genre Artemisia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Menaa, Belkis/ Chekireb, Djamel/ Universite Badji-Mokhtar/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Actinobactéries endophytes/ environnements extrêmes/ Artemisia spp/ </w:t>
            </w:r>
          </w:p>
        </w:tc>
      </w:tr>
    </w:tbl>
    <w:p>
      <w:pPr>
        <w:pStyle w:val="Heading3"/>
      </w:pPr>
      <w:r>
        <w:t>Résumé :</w:t>
      </w:r>
    </w:p>
    <w:p>
      <w:r>
        <w:t>Les actinobactéries endophytes, connues pour leurs relations symbiotiques avec les plantes et leur capacité à produire des composés bioactifs, se rencontrent dans divers environnements, y compris les déserts. Les conditions extrêmes du Sahara – limitation en nutriments, températures élevées et salinité – favorisent des adaptations microbiennes uniques, faisant de cette région un réservoir prometteur de nouveaux taxons. La présente étude rapporte, pour la première fois,l’isolement et la caractérisation d’actinobactéries endophytes issues de trois plantes médicinales</w:t>
        <w:br/>
        <w:br/>
        <w:t>des habitats extrêmes d’Algérie : Artemisia judaica L. ssp. sahariensis, Artemisia campestris et Artemisia herba-alba Asso, collectées dans des régions de sebkha, montagne et désert. Un total de 82 isolats a été obtenu à partir des tissus racinaires et foliaires et identifiés par séquençage du gène 16S rRNA, indiquant leur appartenance à cinq genres : Micromonospora, Nonomuraea, Nocardiopsis, Gordonia et principalement Streptomyces. Les isolats ont été caractérisés sur les plans morphologique, physiologique et bioactif, incluant la production de pigments, la tolérance au stress salin (NaCl), la solubilisation du phosphate, la production d’enzymes extracellulaires et l’activité antibactérienne. Les isolats ont toléré jusqu’à 5 % de NaCl, tandis que (AJR36, AJR38, AJR16, AR5) ont pu résister à 15–20 %. La solubilisation du phosphate a été observée chez 31% des souches. Les tests enzymatiques ont montré que 24 %</w:t>
        <w:br/>
        <w:br/>
        <w:t>des isolats produisent plusieurs enzymes hydrolytiques (amylase, protéase, cellulase, lipase, estérase, pectinase, gélatinase, xylanase), les souches AL1, AL3, AR14, AR23 et AR6</w:t>
        <w:br/>
        <w:br/>
        <w:t>présentant des profils enzymatiques larges. Les essais antibactériens ont révélé que 83 % des isolats inhibaient au moins un pathogène testé, les souches les plus actives présentant des valeurs de concentration minimale inhibitrice comprises entre 4 et 8 μg/mL. Ces résultats mettent en évidence la diversité des actinobactéries endophytes associées aux environnements désertiques et de sebkha à forte salinité soulignent le potentiel biotechnologique des souches associées à Artemisia comme sources de nouveaux agents antibacteriens, d’enzymes et de traits favorisant la croissance des plantes.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