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Courbon,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calcul des structures/ </w:t>
            </w:r>
          </w:p>
        </w:tc>
      </w:tr>
    </w:tbl>
    <w:p>
      <w:pPr>
        <w:pStyle w:val="Heading3"/>
      </w:pPr>
      <w:r>
        <w:t>Résumé :</w:t>
      </w:r>
    </w:p>
    <w:p>
      <w:r>
        <w:t>un ouvrage de référence en génie civil consacré aux méthodes de calcul et de dimensionnement des structures utilisées dans les bâtiments et ouvrages d’art. Le livre présente les principes fondamentaux de la résistance des matériaux, l’analyse des efforts internes, ainsi que les techniques de calcul appliquées aux structures isostatiques et hyperstatiques.</w:t>
        <w:br/>
        <w:br/>
        <w:t>L’auteur explique les comportements mécaniques des poutres, portiques, treillis et dalles soumis aux différentes charges permanentes et variables. L’ouvrage aborde également les méthodes classiques de calcul des réactions d’appui, des moments fléchissants, des efforts tranchants et des déformations.</w:t>
        <w:br/>
        <w:br/>
        <w:t>À travers des exemples pratiques et des applications numériques, le livre aide les étudiants et ingénieurs à comprendre le dimensionnement des éléments en béton armé, acier et autres matériaux de construction. Il constitue ainsi un support pédagogique essentiel pour l’étude du calcul des structures dans les domaines du bâtiment et des travaux publics.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