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structural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Donea, Jean/ </w:t>
            </w:r>
          </w:p>
        </w:tc>
      </w:tr>
      <w:tr>
        <w:trPr>
          <w:trHeight w:val="567"/>
        </w:trPr>
        <w:tc>
          <w:tcPr>
            <w:tcW w:type="dxa" w:w="3000"/>
          </w:tcPr>
          <w:p>
            <w:r>
              <w:t>Adresse bib.</w:t>
            </w:r>
          </w:p>
        </w:tc>
        <w:tc>
          <w:tcPr>
            <w:tcW w:type="dxa" w:w="7000"/>
          </w:tcPr>
          <w:p>
            <w:r>
              <w:t xml:space="preserve">Applied Science Publishers/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465-471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dynamics/ Iterative methods/ Nonlinear structural dynamics/ </w:t>
            </w:r>
          </w:p>
        </w:tc>
      </w:tr>
    </w:tbl>
    <w:p>
      <w:pPr>
        <w:pStyle w:val="Heading3"/>
      </w:pPr>
      <w:r>
        <w:t>Résumé :</w:t>
      </w:r>
    </w:p>
    <w:p>
      <w:r>
        <w:t>Ce livre est un ouvrage avancé en dynamique des structures centré sur les méthodes numériques modernes, en particulier les éléments finis et les techniques d’intégration temporelle pour l’analyse des systèmes structuraux soumis à des charges dynamiques (séismes, impacts, vibrations).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