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Structures métalliques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Run, Guy. A 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et webliogr.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9782729887896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624.17/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structures métalliques/ instabilité des structures/ calcul des structures/ </w:t>
            </w:r>
          </w:p>
        </w:tc>
      </w:tr>
    </w:tbl>
    <w:p>
      <w:pPr>
        <w:pStyle w:val="Heading3"/>
      </w:pPr>
      <w:r>
        <w:t>Résumé :</w:t>
      </w:r>
    </w:p>
    <w:p>
      <w:r>
        <w:t>Les eurocodes structuraux, en se substituant progressivement aux règlements du CM66, font évoluer le calcul réglementaire des constructions à ossature acier et complexifient les procédures de dimensionnement.</w:t>
        <w:br/>
        <w:br/>
        <w:t>Consacré aux eurocodes 0, 1 et 3, cet ouvrage développe ce qui est nécessaire au calculateur en poste ou en devenir pour assumer cette transition. Tiré d'un enseignement dispensé en licence professionnelle, il s'attache autant que possible à décrire d'une façon juste suffisante les phénomènes mis en jeu, de telle sorte que le dimensionnement ne se réduise pas à l'application de formules opaques.</w:t>
        <w:br/>
        <w:br/>
        <w:t>Les pré-requis se limitent aux connaissances de mécanique et résistance des matériaux acquises en premier cycle, associées à une bonne perception des phénomènes physiques. Les besoins en mathématiques restent modestes.</w:t>
        <w:br/>
        <w:br/>
        <w:t>Le plan suit la progression et les enchaînements logiques de la norme. Il a également paru utile d'insérer un chapitre dédié à la plasticité, préliminaire indispensable à la bonne compréhension de l'Eurocode 3.</w:t>
        <w:br/>
        <w:br/>
        <w:t>De nombreuses applications accompagnent les points importants dont les solutions sont détaillées avec précision et commentées.</w:t>
        <w:br/>
        <w:br/>
        <w:t>L'ensemble constitue un recueil essentiellement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