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de sections efficaces électroniques et coefficients macroscopiques.T2, vapeurs métalliques et gaz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Laborie, P/ Rocard, J M/ Rees, J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excitation moléculaire/ silicium/ </w:t>
            </w:r>
          </w:p>
        </w:tc>
      </w:tr>
    </w:tbl>
    <w:p>
      <w:pPr>
        <w:pStyle w:val="Heading3"/>
      </w:pPr>
      <w:r>
        <w:t>Résumé :</w:t>
      </w:r>
    </w:p>
    <w:p>
      <w:r>
        <w:t>Ce deuxième tome est consacré aux vapeurs métalliques et aux gaz moléculaires utilisés dans les études de physique des collisions électroniques et des milieux ionisés. L’ouvrage rassemble des tables de sections efficaces électroniques et de coefficients macroscopiques décrivant les interactions entre électrons, atomes métalliques et molécules gazeuses. Il couvre les phénomènes de diffusion, d’excitation, d’ionisation et de dissociation, essentiels à la compréhension des décharges électriques, des plasmas, des lasers à gaz et des dispositifs électroniques. Les données présentées constituent un outil de référence pour les chercheurs, ingénieurs et spécialistes en physique appliquée et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