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structures for engineers and architects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Garrison, Philip/ </w:t>
            </w:r>
          </w:p>
        </w:tc>
      </w:tr>
      <w:tr>
        <w:trPr>
          <w:trHeight w:val="567"/>
        </w:trPr>
        <w:tc>
          <w:tcPr>
            <w:tcW w:type="dxa" w:w="3000"/>
          </w:tcPr>
          <w:p>
            <w:r>
              <w:t>Adresse bib.</w:t>
            </w:r>
          </w:p>
        </w:tc>
        <w:tc>
          <w:tcPr>
            <w:tcW w:type="dxa" w:w="7000"/>
          </w:tcPr>
          <w:p>
            <w:r>
              <w:t xml:space="preserve">wiley Blackwell/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101405120533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building structures/ timber structures/ structural design basics/ </w:t>
            </w:r>
          </w:p>
        </w:tc>
      </w:tr>
    </w:tbl>
    <w:p>
      <w:pPr>
        <w:pStyle w:val="Heading3"/>
      </w:pPr>
      <w:r>
        <w:t>Résumé :</w:t>
      </w:r>
    </w:p>
    <w:p>
      <w:r>
        <w:t>This book provides students of civil engineering and architecture with a grounding in the fundamentals of structures, and a 'feel' for the way buildings behave structurally. The book aims to explain structural concepts clearly, using analogies and examples to illustrate the points, and it expresses mathematical aspects of the subject in a straightforward way.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