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 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machine/ outil/ </w:t>
            </w:r>
          </w:p>
        </w:tc>
      </w:tr>
    </w:tbl>
    <w:p>
      <w:pPr>
        <w:pStyle w:val="Heading3"/>
      </w:pPr>
      <w:r>
        <w:t>Résumé :</w:t>
      </w:r>
    </w:p>
    <w:p>
      <w:r>
        <w:t>Cette série originale d'ouvrages vise à enseigner une méthode scientifique de création technique, dépassant largement le cadre de la machine-outil et même de la technique. Ces ouvrages, et c'est là leur force, donnent des bases scientifiques solides pour l'étude des machines-outils permettent et l'analyse de toutes les machines-outils existantes, tout en étant conçu pour l'étude et la construction de machines nouvelles. L'auteur innove en proposant une véritable méthode de synthèse, base de la conception des machines-outils. Public : étudiants en mécanique et en productique des 2e et 3e cycles ; professeurs de construction mécanique ; ingénieurs praticiens, experts, spécialistes en CAO, en intelligence artificielle, en systèmes experts et en « Knowledge Based Engineering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