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Bensaada, A/ Feliachi, 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996101023x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liaison mécanique/ le moulage/ </w:t>
            </w:r>
          </w:p>
        </w:tc>
      </w:tr>
    </w:tbl>
    <w:p>
      <w:pPr>
        <w:pStyle w:val="Heading3"/>
      </w:pPr>
      <w:r>
        <w:t>Résumé :</w:t>
      </w:r>
    </w:p>
    <w:p>
      <w:r>
        <w:t>Cet ouvrage apparaît en deux parties. La première partie traite les fondements technologiques de l’élaboration des métaux ferreux et non ferreux, leurs désignations ainsi que leurs transformations et traitements thermiques à subir. La deuxième partie du présent ouvrage de technologie générale, vient en complément de la première partie et expose clairement les connaissances des notions de base en fabrication technologique, ainsi que les technique de conceptions et d’utilisation ou emploi dans la construction mécanique. Elle présente les techniques d’obtention des composants mécanique fabriqués soit, par des liaisons mécaniques, soit par les procédés de moulage et de soudage.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