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Évaluation économique des chaussées en béton et classiques sur le réseau routier national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Gilles/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et recherches des Laboratoires des ponts et chaussées. Routes(N°:1160-9761)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2720803597</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routes à fort trafic/ structures routières/ béton routier/ </w:t>
            </w:r>
          </w:p>
        </w:tc>
      </w:tr>
    </w:tbl>
    <w:p>
      <w:pPr>
        <w:pStyle w:val="Heading3"/>
      </w:pPr>
      <w:r>
        <w:t>Résumé :</w:t>
      </w:r>
    </w:p>
    <w:p>
      <w:r>
        <w:t>Le document Évaluation économique des chaussées en béton et classiques sur le réseau routier national français analyse de manière comparative les coûts globaux des chaussées en béton et des chaussées dites classiques (grave-bitume, grave hydraulique et structures mixtes) sur le réseau routier national français à fort trafic. L’étude a été réalisée pour le Laboratoire Central des Ponts et Chaussées (LCPC).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