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méthanisation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Moletta, René/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XIX-552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9782743012717</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Biogaz/ Industrie et commerce/ </w:t>
            </w:r>
          </w:p>
        </w:tc>
      </w:tr>
    </w:tbl>
    <w:p>
      <w:pPr>
        <w:pStyle w:val="Heading3"/>
      </w:pPr>
      <w:r>
        <w:t>Résumé :</w:t>
      </w:r>
    </w:p>
    <w:p>
      <w:r>
        <w:t>cette deuxième édition entièrement actualisée traite de tous les aspects fondamentaux nécessaires à la connaissance (microbiologiques, cinétiques, stœchiométriques) mais aussi des aspects technologiques, réglementaires et économiques. Toutes les technologies de traitement des déchets organiques sont exposées en dé Effluents industriels (réacteurs biologiques et digesteurs anaérobies); Déchets ménagers et agricoles (un chapitre est exclusivement consacré à la méthanisation en milieu rural); Digestion anaérobie des boues de station d’épuration. Des exemples industriels concrets, essentiellement dans le domaine de la protection de l’environnement, viennent étayer le propos concernant la mise en œuvre, les exploitations nouvelles et potentielles de ce processus biologique. Une large place est consacrée au génie des procédés. Dans un contexte d’augmentation du coût de l’énergie et d’incitation à la production d’énergies vertes, cette nouvelle édition insiste sur la valorisation du biogaz, sous forme d’électricité ou de chaleur, en détaillant toutes les connaissances disponibles sur cette énergie présentant un intérêt écologique et économique important (traitement, exploitation, valorisation, micro-organismes véhiculés).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