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combinés du COVID-19 et leurs dynamiques (Combined COVID-19 models and their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BELILI, Mohamed Cherif/ Sahari, Mohamed Lamine/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dynamique/ bifurcations/ Modèle SIR/ </w:t>
            </w:r>
          </w:p>
        </w:tc>
      </w:tr>
    </w:tbl>
    <w:p>
      <w:pPr>
        <w:pStyle w:val="Heading3"/>
      </w:pPr>
      <w:r>
        <w:t>Résumé :</w:t>
      </w:r>
    </w:p>
    <w:p>
      <w:r>
        <w:t>Cette thèse analyse la dynamique complexe des modèles épidémiologiques en temps discret (SIR, SIRS), une approche essentielle pour le COVID-19. Le travail explore la Théorie des Systèmes Dynamiques discrets en détaillant les bifur-cations (Transcritique, Flip, Neimark-Sacker) qui révèlent l’émergence de cycles périodiques et de chaos. Le modèle SIRS est enrichi par le contrôle optimal avec contraintes pour la gestion de crise. Notre principale contribution concerne le développement du modèle SI-Ricker discret, combinant cinétique épidémique et fonction de Ricker pour une nouvelle approche de la dynamique épidémiologique,notamment adaptée aux données algériennes. La résolution analytique des équili-bres a nécessité l’utilisation de la fonction de Lambert W. Cette recherche enrichit la modélisation mathématique et fournit des outils précis pour la prévision et la prise de décision en santé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