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Coates, R. C./ Coutie, M. G./ Kong, F. 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The English Language Book Society/ Thomas Nelson &amp; Sons Ltd/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0177710845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analyse des structures/ structures isostatiques/ modélisation structurale/ static equilibrium/ structural modeling/ </w:t>
            </w:r>
          </w:p>
        </w:tc>
      </w:tr>
    </w:tbl>
    <w:p>
      <w:pPr>
        <w:pStyle w:val="Heading3"/>
      </w:pPr>
      <w:r>
        <w:t>Résumé :</w:t>
      </w:r>
    </w:p>
    <w:p>
      <w:r>
        <w:t>Structural Analysis provides a comprehensive introduction to the principles and methods used to determine the behavior of engineering structures under various types of loading. The book integrates classical mechanics with modern analytical techniques, offering a systematic approach to understanding structural response.</w:t>
        <w:br/>
        <w:br/>
        <w:t>It begins with fundamental concepts such as equilibrium, stress, strain, and displacement, followed by the analysis of statically determinate structures, including beams, trusses, and frames. The text then develops key theoretical principles such as compatibility conditions, superposition, and energy methods, including the principle of virtual work.</w:t>
        <w:br/>
        <w:br/>
        <w:t>A significant portion of the book is devoted to advanced analysis methods, particularly matrix methods (stiffness and flexibility approaches), which form the foundation of computer-based structural analysis. The authors also address more complex topics such as structural stability (buckling) and structural dynamics, providing insight into real engineering applications.</w:t>
        <w:br/>
        <w:br/>
        <w:t>Overall, the book bridges theory and practice, equipping students and engineers with the analytical tools necessary for structural design and analysis in civil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