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Charpenterie menuiserie. T11, clonnes, poutres et dalles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Guimond, Gérald/ </w:t>
            </w:r>
          </w:p>
        </w:tc>
      </w:tr>
      <w:tr>
        <w:trPr>
          <w:trHeight w:val="567"/>
        </w:trPr>
        <w:tc>
          <w:tcPr>
            <w:tcW w:type="dxa" w:w="3000"/>
          </w:tcPr>
          <w:p>
            <w:r>
              <w:t>Adresse bib.</w:t>
            </w:r>
          </w:p>
        </w:tc>
        <w:tc>
          <w:tcPr>
            <w:tcW w:type="dxa" w:w="7000"/>
          </w:tcPr>
          <w:p>
            <w:r>
              <w:t xml:space="preserve">Éditeur Centre d'élaboration des moyens d'enseignement du Québec (CEMEQ)/ </w:t>
            </w:r>
          </w:p>
        </w:tc>
      </w:tr>
      <w:tr>
        <w:trPr>
          <w:trHeight w:val="567"/>
        </w:trPr>
        <w:tc>
          <w:tcPr>
            <w:tcW w:type="dxa" w:w="3000"/>
          </w:tcPr>
          <w:p>
            <w:r>
              <w:t>Nombre de Pages</w:t>
            </w:r>
          </w:p>
        </w:tc>
        <w:tc>
          <w:tcPr>
            <w:tcW w:type="dxa" w:w="7000"/>
          </w:tcPr>
          <w:p>
            <w:r>
              <w:t>200 p.</w:t>
            </w:r>
          </w:p>
        </w:tc>
      </w:tr>
      <w:tr>
        <w:trPr>
          <w:trHeight w:val="567"/>
        </w:trPr>
        <w:tc>
          <w:tcPr>
            <w:tcW w:type="dxa" w:w="3000"/>
          </w:tcPr>
          <w:p>
            <w:r>
              <w:t>Illustration</w:t>
            </w:r>
          </w:p>
        </w:tc>
        <w:tc>
          <w:tcPr>
            <w:tcW w:type="dxa" w:w="7000"/>
          </w:tcPr>
          <w:p>
            <w:r>
              <w:t>ill. couv. en coul. ill.</w:t>
            </w:r>
          </w:p>
        </w:tc>
      </w:tr>
      <w:tr>
        <w:trPr>
          <w:trHeight w:val="567"/>
        </w:trPr>
        <w:tc>
          <w:tcPr>
            <w:tcW w:type="dxa" w:w="3000"/>
          </w:tcPr>
          <w:p>
            <w:r>
              <w:t>Format</w:t>
            </w:r>
          </w:p>
        </w:tc>
        <w:tc>
          <w:tcPr>
            <w:tcW w:type="dxa" w:w="7000"/>
          </w:tcPr>
          <w:p>
            <w:r>
              <w:t>28 cm</w:t>
            </w:r>
          </w:p>
        </w:tc>
      </w:tr>
      <w:tr>
        <w:trPr>
          <w:trHeight w:val="567"/>
        </w:trPr>
        <w:tc>
          <w:tcPr>
            <w:tcW w:type="dxa" w:w="3000"/>
          </w:tcPr>
          <w:p>
            <w:r>
              <w:t>Collection</w:t>
            </w:r>
          </w:p>
        </w:tc>
        <w:tc>
          <w:tcPr>
            <w:tcW w:type="dxa" w:w="7000"/>
          </w:tcPr>
          <w:p>
            <w:r>
              <w:t>Charpenterie menuiserie(N°:5319)</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9782896203857</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charpenterie/ colonnes/ dalles/ </w:t>
            </w:r>
          </w:p>
        </w:tc>
      </w:tr>
    </w:tbl>
    <w:p>
      <w:pPr>
        <w:pStyle w:val="Heading3"/>
      </w:pPr>
      <w:r>
        <w:t>Résumé :</w:t>
      </w:r>
    </w:p>
    <w:p>
      <w:r>
        <w:t>Si l'élève en charpenterie-menuiserie veut apprendre à construire des coffrages de colonnes, de poutres, de dalles ou d'escaliers de béton, ce guide est tout indiqué. En effet, il aborde des sujets tels que les systèmes de support (avec cadres métalliques ou avec vérins), l'implantation et le coffrage d'une colonne, la fabrication et la mise en place d'un panneau surbaissé, les colonnes, poutres et dalles, sans oublier les coffrages d'escaliers ouverts ou fermés.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