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Charpenterie menuiserie. T10, fondations profondes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Charpenterie menuiserie(N°:5319)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fondations profondes/ pieux/ tolérances d’exécution/ </w:t>
            </w:r>
          </w:p>
        </w:tc>
      </w:tr>
    </w:tbl>
    <w:p>
      <w:pPr>
        <w:pStyle w:val="Heading3"/>
      </w:pPr>
      <w:r>
        <w:t>Résumé :</w:t>
      </w:r>
    </w:p>
    <w:p>
      <w:r>
        <w:t>Ce tout nouveau guide du programme d'études en Charpenterie-menuiserie présente les étapes nécessaires à la mise en place de fondations profondes sur un chantier à partir de plans et de devis (surtout dans le domaine résidentiel en ce qui concerne les charpentiers-menuisiers). L'élève apprendra d'abord à reconnaître les divers types de sols présents au Québec, ce qui constitue la base de tout projet de construction. Ce guide présente ensuite les types de pieux à mettre en place selon les charges transmises par le bâtiment à divers types de sols, de même que les différentes parois de soutènement disponibles selon les besoins. Enfin, un chapitre est consacré à l'utilisation appropriée des pieux lors de travaux en sous-oeuvre, c'est-à-dire au niveau des fondations d'un bâtiment existant. À travers ce guide, l'élève comprendra également quel sera son rôle sur un chantier ayant recours aux fondations profondes, et ce, aussi bien dans les cas résidentiels que commerciaux ou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