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statistiques a l'usage des médecins et des biologistes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Schwartz, Daniel/ </w:t>
            </w:r>
          </w:p>
        </w:tc>
      </w:tr>
      <w:tr>
        <w:trPr>
          <w:trHeight w:val="567"/>
        </w:trPr>
        <w:tc>
          <w:tcPr>
            <w:tcW w:type="dxa" w:w="3000"/>
          </w:tcPr>
          <w:p>
            <w:r>
              <w:t>Edition</w:t>
            </w:r>
          </w:p>
        </w:tc>
        <w:tc>
          <w:tcPr>
            <w:tcW w:type="dxa" w:w="7000"/>
          </w:tcPr>
          <w:p>
            <w:r>
              <w:t>3e édition</w:t>
            </w:r>
          </w:p>
        </w:tc>
      </w:tr>
      <w:tr>
        <w:trPr>
          <w:trHeight w:val="567"/>
        </w:trPr>
        <w:tc>
          <w:tcPr>
            <w:tcW w:type="dxa" w:w="3000"/>
          </w:tcPr>
          <w:p>
            <w:r>
              <w:t>Adresse bib.</w:t>
            </w:r>
          </w:p>
        </w:tc>
        <w:tc>
          <w:tcPr>
            <w:tcW w:type="dxa" w:w="7000"/>
          </w:tcPr>
          <w:p>
            <w:r>
              <w:t xml:space="preserve">Flammarion Médecine-sciences/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Statistique en biologie et en médecine(N°:None)</w:t>
            </w:r>
          </w:p>
        </w:tc>
      </w:tr>
      <w:tr>
        <w:trPr>
          <w:trHeight w:val="567"/>
        </w:trPr>
        <w:tc>
          <w:tcPr>
            <w:tcW w:type="dxa" w:w="3000"/>
          </w:tcPr>
          <w:p>
            <w:r>
              <w:t>Numéro d'Identification</w:t>
            </w:r>
          </w:p>
        </w:tc>
        <w:tc>
          <w:tcPr>
            <w:tcW w:type="dxa" w:w="7000"/>
          </w:tcPr>
          <w:p>
            <w:r>
              <w:t>2257103262</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analyse de survie/ variable aléatoire/ </w:t>
            </w:r>
          </w:p>
        </w:tc>
      </w:tr>
    </w:tbl>
    <w:p>
      <w:pPr>
        <w:pStyle w:val="Heading3"/>
      </w:pPr>
      <w:r>
        <w:t>Résumé :</w:t>
      </w:r>
    </w:p>
    <w:p>
      <w:r>
        <w:t>Cet ouvrage est un guide pratique qui permet aux médecins et biologistes de maîtriser les outils statistiques nécessaires pour analyser des données, interpréter des résultats et prendre des décisions éclairées basées sur des preuves.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