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validation des méthodes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Feinberg, Max/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XVIII-397 p.</w:t>
            </w:r>
          </w:p>
        </w:tc>
      </w:tr>
      <w:tr>
        <w:trPr>
          <w:trHeight w:val="567"/>
        </w:trPr>
        <w:tc>
          <w:tcPr>
            <w:tcW w:type="dxa" w:w="3000"/>
          </w:tcPr>
          <w:p>
            <w:r>
              <w:t>Illustration</w:t>
            </w:r>
          </w:p>
        </w:tc>
        <w:tc>
          <w:tcPr>
            <w:tcW w:type="dxa" w:w="7000"/>
          </w:tcPr>
          <w:p>
            <w:r>
              <w:t>graph.</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de l'ingénieur. Série Chimie analytique(N°:None)</w:t>
            </w:r>
          </w:p>
        </w:tc>
      </w:tr>
      <w:tr>
        <w:trPr>
          <w:trHeight w:val="567"/>
        </w:trPr>
        <w:tc>
          <w:tcPr>
            <w:tcW w:type="dxa" w:w="3000"/>
          </w:tcPr>
          <w:p>
            <w:r>
              <w:t>Notes Générales</w:t>
            </w:r>
          </w:p>
        </w:tc>
        <w:tc>
          <w:tcPr>
            <w:tcW w:type="dxa" w:w="7000"/>
          </w:tcPr>
          <w:p>
            <w:r>
              <w:t>Bibliogr. p.p. 384-392. Glossaire. Index</w:t>
            </w:r>
          </w:p>
        </w:tc>
      </w:tr>
      <w:tr>
        <w:trPr>
          <w:trHeight w:val="567"/>
        </w:trPr>
        <w:tc>
          <w:tcPr>
            <w:tcW w:type="dxa" w:w="3000"/>
          </w:tcPr>
          <w:p>
            <w:r>
              <w:t>Numéro d'Identification</w:t>
            </w:r>
          </w:p>
        </w:tc>
        <w:tc>
          <w:tcPr>
            <w:tcW w:type="dxa" w:w="7000"/>
          </w:tcPr>
          <w:p>
            <w:r>
              <w:t>2225853002</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 </w:t>
            </w:r>
          </w:p>
        </w:tc>
      </w:tr>
      <w:tr>
        <w:trPr>
          <w:trHeight w:val="567"/>
        </w:trPr>
        <w:tc>
          <w:tcPr>
            <w:tcW w:type="dxa" w:w="3000"/>
          </w:tcPr>
          <w:p>
            <w:r>
              <w:t>Sujet(s)</w:t>
            </w:r>
          </w:p>
        </w:tc>
        <w:tc>
          <w:tcPr>
            <w:tcW w:type="dxa" w:w="7000"/>
          </w:tcPr>
          <w:p>
            <w:r>
              <w:t xml:space="preserve">Contrôle de la qualité/ chimie analytique/ certification/ </w:t>
            </w:r>
          </w:p>
        </w:tc>
      </w:tr>
    </w:tbl>
    <w:p>
      <w:pPr>
        <w:pStyle w:val="Heading3"/>
      </w:pPr>
      <w:r>
        <w:t>Résumé :</w:t>
      </w:r>
    </w:p>
    <w:p>
      <w:r>
        <w:t>Cet ouvrage présente les techniques permettant de valider les méthodes d'analyse, de contrôle et de recherche. Il précise la relation entre la validation d'une méthode et la qualité du résultat qu'elle fournit. Les techniques décrites s'appliquent aux laboratoires industriels d'analyse, qui mettent en place ou gèrent un système d'assurance de la qualité. L'auteur montre comment la maîtrise de la qualité, les techniques chimiométriques de calcul et l'informatisation du laboratoire font partie d'une même et unique démarche, qui vise une meilleure valorisation du travail de l'analyste. Il propose en outre une réflexion critique sur la stratégie de validation des méthodes. A vocation pratique, l'ouvrage présente ces techniques sous la forme de procédures qui faciliteront la rédaction des modes opératoires normalisés. Elles sont illustrées par des applications numériques, dans le but de permettre à l'utilisateur de vérifier l'exactitude des calculs auxquels il procède dans son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