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des procédés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André/ </w:t>
            </w:r>
          </w:p>
        </w:tc>
      </w:tr>
      <w:tr>
        <w:trPr>
          <w:trHeight w:val="567"/>
        </w:trPr>
        <w:tc>
          <w:tcPr>
            <w:tcW w:type="dxa" w:w="3000"/>
          </w:tcPr>
          <w:p>
            <w:r>
              <w:t>Edition</w:t>
            </w:r>
          </w:p>
        </w:tc>
        <w:tc>
          <w:tcPr>
            <w:tcW w:type="dxa" w:w="7000"/>
          </w:tcPr>
          <w:p>
            <w:r>
              <w:t>2è.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XX-607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des procédés de l'école de Nancy(N°:None)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9782743013967</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Procédés chimiques/ mesures de sécurité/ évaluation du risque/ </w:t>
            </w:r>
          </w:p>
        </w:tc>
      </w:tr>
    </w:tbl>
    <w:p>
      <w:pPr>
        <w:pStyle w:val="Heading3"/>
      </w:pPr>
      <w:r>
        <w:t>Résumé :</w:t>
      </w:r>
    </w:p>
    <w:p>
      <w:r>
        <w:t>La maîtrise des risques technologiques et industriels est maintenant une exigence sociétale majeure. En effet à la suite de l'accident AZF àToulouse, un foisonnement de protocoles et d'applications réglementaires a induit une évolution de la conception du danger et de la notionde risque, qui a conduit au passage d'une évaluation déterministe à une causalité probabiliste.""Sécurité des procédés chimiques"" vise à fournir les outils permettant d'appréhender l'analyse du risque et l'appréciation des conséquences. La terminologie y est actualisée avec les nouveaux termes d'aléa, d'enjeux, d'intensité, de cinétique et de vulnérabilité. Les connaissances de base sont présentées suivant les récentes typologies classiques des caractéristiques des effets des phénomènes de dangers.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