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Otique électronique et corpusculaire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Louis de brogile, M/ </w:t>
            </w:r>
          </w:p>
        </w:tc>
      </w:tr>
      <w:tr>
        <w:trPr>
          <w:trHeight w:val="567"/>
        </w:trPr>
        <w:tc>
          <w:tcPr>
            <w:tcW w:type="dxa" w:w="3000"/>
          </w:tcPr>
          <w:p>
            <w:r>
              <w:t>Adresse bib.</w:t>
            </w:r>
          </w:p>
        </w:tc>
        <w:tc>
          <w:tcPr>
            <w:tcW w:type="dxa" w:w="7000"/>
          </w:tcPr>
          <w:p>
            <w:r>
              <w:t xml:space="preserve">Hermann &amp; Cie éditeurs/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diffraction/ electron diffraction/ </w:t>
            </w:r>
          </w:p>
        </w:tc>
      </w:tr>
    </w:tbl>
    <w:p>
      <w:pPr>
        <w:pStyle w:val="Heading3"/>
      </w:pPr>
      <w:r>
        <w:t>Résumé :</w:t>
      </w:r>
    </w:p>
    <w:p>
      <w:r>
        <w:t>L’ouvrage présente l’idée centrale de De Broglie selon laquelle toute particule matérielle (comme l’électron) possède une nature ondulatoire, caractérisée par une longueur d’onde associée. Cette hypothèse est ensuite utilisée pour développer une « optique électronique », analogue à l’optique classique, où les trajectoires des particules sont étudiées comme des rayons guidés par des propriétés ondulatoires.</w:t>
        <w:br/>
        <w:br/>
        <w:t>Le livre aborde également la propagation des ondes associées aux particules, les phénomènes d’interférence et de diffraction, ainsi que leur rôle dans la compréhension du comportement microscopique de la matière. Il établit des liens entre la mécanique classique, l’optique géométrique et la mécanique ondulatoire.</w:t>
        <w:br/>
        <w:br/>
        <w:t>Enfin, De Broglie discute des implications philosophiques et physiques de la dualité onde-corpuscule, ouvrant la voie à une nouvelle interprétation de la réalité microscopique et contribuant au développement de la mécanique quantique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