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Actifs et additifs en cosmétologie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Martini, Marie-Claude/ Seiller, Monique/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Éd. médicales internationales/ </w:t>
            </w:r>
          </w:p>
        </w:tc>
      </w:tr>
      <w:tr>
        <w:trPr>
          <w:trHeight w:val="567"/>
        </w:trPr>
        <w:tc>
          <w:tcPr>
            <w:tcW w:type="dxa" w:w="3000"/>
          </w:tcPr>
          <w:p>
            <w:r>
              <w:t>Nombre de Pages</w:t>
            </w:r>
          </w:p>
        </w:tc>
        <w:tc>
          <w:tcPr>
            <w:tcW w:type="dxa" w:w="7000"/>
          </w:tcPr>
          <w:p>
            <w:r>
              <w:t>XXIII-632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2743001917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Produits cosmétiques/ composition chimique/ Médicaments dermatologiques/ </w:t>
            </w:r>
          </w:p>
        </w:tc>
      </w:tr>
    </w:tbl>
    <w:p>
      <w:pPr>
        <w:pStyle w:val="Heading3"/>
      </w:pPr>
      <w:r>
        <w:t>Résumé :</w:t>
      </w:r>
    </w:p>
    <w:p>
      <w:r>
        <w:t>Cette 2e édition d'Actifs et additifs en cosmétologie reprend les cinq grands thèmes qui avaient contribué au succès de l'édition originale, publiée en 1992 : phytocosmétique, " biocosmétique ", produits de synthèse, colorants, parfums. L'ensemble a été revu et augmenté ; sept nouveaux chapitres ont été introduits, traitant notamment des cyclodextrines, des actifs marins, des (a-hydroxyacides, des vitamines, des biopeptides, des oligosaccharides... Chaque chapitre fournit des détails parfois méconnus sur les propriétés, les conditions d'utilisation, la stabilité, les incompatibilités et la réglementation de chacune des matières premières. Fruit de l'expérience d'une équipe d'auteurs issus de l'enseignement supérieur, de la recherche ou de l'industrie, cet ensemble unique en langue française est destiné aux laboratoires de recherche et de développement de l'industrie cosmétique, aux formulateurs, aux enseignants et aux étudiants des filières cosmétologiques et dermopharmaceutiques.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