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soixante-dix [170] séquences pour mener une opération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Debaveye, Hervé/ Haxaire, Pierre/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Méthodes(N°:1255-1406)</w:t>
            </w:r>
          </w:p>
        </w:tc>
      </w:tr>
      <w:tr>
        <w:trPr>
          <w:trHeight w:val="567"/>
        </w:trPr>
        <w:tc>
          <w:tcPr>
            <w:tcW w:type="dxa" w:w="3000"/>
          </w:tcPr>
          <w:p>
            <w:r>
              <w:t>Notes Générales</w:t>
            </w:r>
          </w:p>
        </w:tc>
        <w:tc>
          <w:tcPr>
            <w:tcW w:type="dxa" w:w="7000"/>
          </w:tcPr>
          <w:p>
            <w:r>
              <w:t>bibliogr. webliogr. Index</w:t>
            </w:r>
          </w:p>
        </w:tc>
      </w:tr>
      <w:tr>
        <w:trPr>
          <w:trHeight w:val="567"/>
        </w:trPr>
        <w:tc>
          <w:tcPr>
            <w:tcW w:type="dxa" w:w="3000"/>
          </w:tcPr>
          <w:p>
            <w:r>
              <w:t>Numéro d'Identification</w:t>
            </w:r>
          </w:p>
        </w:tc>
        <w:tc>
          <w:tcPr>
            <w:tcW w:type="dxa" w:w="7000"/>
          </w:tcPr>
          <w:p>
            <w:r>
              <w:t>9782281118827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processus de construction/ qualité des travaux/ études préalables/ garantie de parfait achèvement/ </w:t>
            </w:r>
          </w:p>
        </w:tc>
      </w:tr>
    </w:tbl>
    <w:p>
      <w:pPr>
        <w:pStyle w:val="Heading3"/>
      </w:pPr>
      <w:r>
        <w:t>Résumé :</w:t>
      </w:r>
    </w:p>
    <w:p>
      <w:r>
        <w:t>Sous forme de fiches, une présentation de l'ensemble des actions techniques et des démarches administratives à effectuer dans toute opération de construction, depuis les études préalables jusqu'à l'achèvement de l'ouvrage. Cette édition tient compte de l'évolution réglementaire et normative (code des marchés publics, code du travail et code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