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positifs hyperfréquences actifs et pass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squet, Daniel/ Huyart, Bernard/ Faillon, Georges/ Harteman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EGEM. Série Électronique et micro-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95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positif passif/ réciprocité électromagn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trois grandes catégories de dispositifs utilisés en hyperfréquences : les dispositifs passifs réciproques, les dispositifs à ondes élastiques de surface et les tubes. les dispositifs passifs réciproques qui sont décrits sont les circuits qu'on retrouve dans les différentes technologies planaires hybrides et monolithiques. ceux-ci ne remplissent pas toutes les fonctions passives qu'on peut rencontrer dans les appareils, en particulier dans le domaine des télécommunications mobiles. les dispositifs à ondes élastiques de surface sont largement utilisés. leur principe et leurs applications sont détaillées dans la deuxième partie de l'ouvrage. a l'autre extrémité, les dispositifs de puissance actifs sont encore constitués de tubes. cette technologie, en pleine évolution, reste incontournable pour un grand nombre d'applications. pour être complet, les dispositifs semi-conducteurs utilisés en hyperfréquences font l'objet d'un second 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