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en fatigue des matériaux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mécaniques/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29.5 cm</w:t>
            </w:r>
          </w:p>
        </w:tc>
      </w:tr>
      <w:tr>
        <w:trPr>
          <w:trHeight w:val="567"/>
        </w:trPr>
        <w:tc>
          <w:tcPr>
            <w:tcW w:type="dxa" w:w="3000"/>
          </w:tcPr>
          <w:p>
            <w:r>
              <w:t>Collection</w:t>
            </w:r>
          </w:p>
        </w:tc>
        <w:tc>
          <w:tcPr>
            <w:tcW w:type="dxa" w:w="7000"/>
          </w:tcPr>
          <w:p>
            <w:r>
              <w:t>Performance concours(N°:None)</w:t>
            </w:r>
          </w:p>
        </w:tc>
      </w:tr>
      <w:tr>
        <w:trPr>
          <w:trHeight w:val="567"/>
        </w:trPr>
        <w:tc>
          <w:tcPr>
            <w:tcW w:type="dxa" w:w="3000"/>
          </w:tcPr>
          <w:p>
            <w:r>
              <w:t>Numéro d'Identification</w:t>
            </w:r>
          </w:p>
        </w:tc>
        <w:tc>
          <w:tcPr>
            <w:tcW w:type="dxa" w:w="7000"/>
          </w:tcPr>
          <w:p>
            <w:r>
              <w:t>9782368940228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 comportement en fatigue/ materiel métallique/ </w:t>
            </w:r>
          </w:p>
        </w:tc>
      </w:tr>
    </w:tbl>
    <w:p>
      <w:pPr>
        <w:pStyle w:val="Heading3"/>
      </w:pPr>
      <w:r>
        <w:t>Résumé :</w:t>
      </w:r>
    </w:p>
    <w:p>
      <w:r>
        <w:t>Cet ouvrage de la collection Performances du Cetim (9Q238) " Comportement en fatigue des matériaux métalliques - Généralités" correspond au premier de ces fascicules. Il traite notamment des mécanismes et des faciès de rupture par fatigue, du chargement et des notations, de la fatigue à grand nombre de cycles, de la fatigue plastique ou oligocyclique, etc. Un ensemble d'éléments permettant d'appréhender ce phénomène de fatigue responsable de la majorité des ruptures en service de pièces ou de structures dans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