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Masièri, Walder/ </w:t>
            </w:r>
          </w:p>
        </w:tc>
      </w:tr>
      <w:tr>
        <w:trPr>
          <w:trHeight w:val="567"/>
        </w:trPr>
        <w:tc>
          <w:tcPr>
            <w:tcW w:type="dxa" w:w="3000"/>
          </w:tcPr>
          <w:p>
            <w:r>
              <w:t>Adresse bib.</w:t>
            </w:r>
          </w:p>
        </w:tc>
        <w:tc>
          <w:tcPr>
            <w:tcW w:type="dxa" w:w="7000"/>
          </w:tcPr>
          <w:p>
            <w:r>
              <w:t xml:space="preserve">Dalloz/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Cours Dalloz(N°:None)</w:t>
            </w:r>
          </w:p>
        </w:tc>
      </w:tr>
      <w:tr>
        <w:trPr>
          <w:trHeight w:val="567"/>
        </w:trPr>
        <w:tc>
          <w:tcPr>
            <w:tcW w:type="dxa" w:w="3000"/>
          </w:tcPr>
          <w:p>
            <w:r>
              <w:t>Numéro d'Identification</w:t>
            </w:r>
          </w:p>
        </w:tc>
        <w:tc>
          <w:tcPr>
            <w:tcW w:type="dxa" w:w="7000"/>
          </w:tcPr>
          <w:p>
            <w:r>
              <w:t>9782247044047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 Série simple, série double, corrélation, régression linéaire./ Lois de Probabilité : Loi Binomiale, Loi de Poisson, Loi Normale (Gauss)./ </w:t>
            </w:r>
          </w:p>
        </w:tc>
      </w:tr>
    </w:tbl>
    <w:p>
      <w:pPr>
        <w:pStyle w:val="Heading3"/>
      </w:pPr>
      <w:r>
        <w:t>Résumé :</w:t>
      </w:r>
    </w:p>
    <w:p>
      <w:r>
        <w:t>Statistique et calcul des probabilités sont deux composantes indispensables des études d' économie et de gestion.</w:t>
        <w:br/>
        <w:br/>
        <w:t>Produits d' une réflexion logique mais aussi outils de travail, ces deux branches des mathématiques sont ici exposées à la fois sous l'angle de l' explication mathématique et à travers de nombreuses applications pratiques.</w:t>
        <w:br/>
        <w:br/>
        <w:t>En effet, chaque chapitre du cours qui s'appuie sur des cas pratiques est completé par de nombreux exercices et problèmes resolus.</w:t>
        <w:br/>
        <w:br/>
        <w:t>Regroupant les fonctions du manuel traditionnel et celles du livre de travaux pratiques, ce volume s' adresse aux étudiants des filieres universitaires (économie et gestion, MSTC, AES, IAE) mais aussi d'expertise comptable, de classes préparatoires et d' écoles de commerce.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