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Chevarier,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 309-314.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logiciel système/ </w:t>
            </w:r>
          </w:p>
        </w:tc>
      </w:tr>
    </w:tbl>
    <w:p>
      <w:pPr>
        <w:pStyle w:val="Heading3"/>
      </w:pPr>
      <w:r>
        <w:t>Résumé :</w:t>
      </w:r>
    </w:p>
    <w:p>
      <w:r>
        <w:t>Découvrez les bases de la programmation objet : les objets, les classes, les envois de messages ; Abordez des notions plus pointues : l'encapsulation, l'association, le polymorphisme, la persistance, etc. Comprenez la démarche fonctionnelle et la sérialisation ; Utilisez correctement l'héritage et la composition ; Réalisez des interfaces utilisateurs interactives ; Concevez des applications lava modélisées initialement en UML.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