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L'homme face aux crues et aux inondations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Salomon, Jean-Noël/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Bordeaux/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Scieteren(N°:None)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125-129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2867811996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inondations/ Maîtrise/ </w:t>
            </w:r>
          </w:p>
        </w:tc>
      </w:tr>
    </w:tbl>
    <w:p>
      <w:pPr>
        <w:pStyle w:val="Heading3"/>
      </w:pPr>
      <w:r>
        <w:t>Résumé :</w:t>
      </w:r>
    </w:p>
    <w:p>
      <w:r>
        <w:t>Cela réclame en premier lieu une meilleure compréhension des phénomènes incriminés. Dans cette étude, l'auteur s'attache à montrer les causes et les effets engendrés par les crues et les inondations ; il analyse aussi les moyens par lesquels l'homme s'efforce de lutter contre ce qu'on a trop tendance à considérer comme un fléau " imprévisible ". Loin d'approuver les politiques de contrainte de la nature, préconisées la plupart du temps par les ingénieurs, notamment au niveau des seuls lits fluviaux, Jean-Noël Salomon souhaite démontrer qu'une approche " naturaliste " globale, menée au niveau du bassin versant dans son entier et sur le long terme, servirait mieux riverains et contribuables.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