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concepts for managing telecommunications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Bernstein, Lawrence/ Yuhas, C.M./ </w:t>
            </w:r>
          </w:p>
        </w:tc>
      </w:tr>
      <w:tr>
        <w:trPr>
          <w:trHeight w:val="567"/>
        </w:trPr>
        <w:tc>
          <w:tcPr>
            <w:tcW w:type="dxa" w:w="3000"/>
          </w:tcPr>
          <w:p>
            <w:r>
              <w:t>Adresse bib.</w:t>
            </w:r>
          </w:p>
        </w:tc>
        <w:tc>
          <w:tcPr>
            <w:tcW w:type="dxa" w:w="7000"/>
          </w:tcPr>
          <w:p>
            <w:r>
              <w:t xml:space="preserve">Kluwer Academic Publishers/ Plenum publishers/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0306462370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telecommunication network/ network management/ </w:t>
            </w:r>
          </w:p>
        </w:tc>
      </w:tr>
    </w:tbl>
    <w:p>
      <w:pPr>
        <w:pStyle w:val="Heading3"/>
      </w:pPr>
      <w:r>
        <w:t>Résumé :</w:t>
      </w:r>
    </w:p>
    <w:p>
      <w:r>
        <w:t>It is important to understand what came before and how to meld new products with legacy systems. network managers need to understand the context and origins of the systems they are using. programmers need an understanding of the reasons behind the interfaces they must satisfy and the relationship of the software they build to the whole network. and finally, sales representatives need to see the context into which their products must 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