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caractéristiques de surface induites par le brunissage sur la tenue en fatigue de l’acier 100C6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Taamallah, Ouahiba/ Hamadache, Hamid/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rugosité de surface/ acier 100C6/ brunissage/ </w:t>
            </w:r>
          </w:p>
        </w:tc>
      </w:tr>
    </w:tbl>
    <w:p>
      <w:pPr>
        <w:pStyle w:val="Heading3"/>
      </w:pPr>
      <w:r>
        <w:t>Résumé :</w:t>
      </w:r>
    </w:p>
    <w:p>
      <w:r>
        <w:t>Cette thèse analyse l'impact du brunissage sur les propriétés de surface de l’acier 100c6, en particulier sur la rugosité, la dureté, la résistance à la fatigue et les contraintes résiduelles. Le brunissage, un traitement mécanique de surface (TMS), est reconnu pour son efficacité à améliorer l'intégrité de surface des matériaux, ce qui est essentiel pour leur durabilité et leur fiabilité dans des conditions de travail sévères. Les expériences ont été menées selon un plan factoriel complet de type Taguchi pour optimiser les paramètres du brunissage : un nombre de passes i = 3, une vitesse d'avance f = 0,074 mm/tr et un effort de brunissage Py=de 10 kgf. Cette configuration a permis d'atteindre la meilleure rugosité de surface (0,123 μm) et la dureté maximale (585,07 HV), contribuant ainsi à une réduction des irrégularités de surface et à une amélioration de la résistance à la fatigue où les gains sur les nombres de cycles à rupture ont atteint 120 % et 12,57% dans le domaine oligocyclique et à grand nombre de cycles successivement. L’analyse fractographique a révélé des faciès de rupture qui renferment des cupules caractéristiques d’une rupture ductile et une plus grande ténacité des échantillons brunis dont la surface fissurée a occupé 75% de l’aire totale des éprouvettes rompues. Concernant les contraintes résiduelles, le brunissage a induit un état de compression dans les couches superficielles reconnu pour ses effets de fermeture et retard de la propagation des fissures qui sans doute contribuent à augmenter la durée de vie globale du matériau. L’intensité des contraintes résiduelles semble évoluer avec la charge d’indentation. Ainsi pour des charges d’indentation de 1.5 N, les contraintes résiduelles induites par le brunissage ont vu la plus grande augmentation de 5.31%.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