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Calot,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décision(N°:None)</w:t>
            </w:r>
          </w:p>
        </w:tc>
      </w:tr>
      <w:tr>
        <w:trPr>
          <w:trHeight w:val="567"/>
        </w:trPr>
        <w:tc>
          <w:tcPr>
            <w:tcW w:type="dxa" w:w="3000"/>
          </w:tcPr>
          <w:p>
            <w:r>
              <w:t>Numéro d'Identification</w:t>
            </w:r>
          </w:p>
        </w:tc>
        <w:tc>
          <w:tcPr>
            <w:tcW w:type="dxa" w:w="7000"/>
          </w:tcPr>
          <w:p>
            <w:r>
              <w:t>2040018387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 conditionnelle/ fonction de régression/ </w:t>
            </w:r>
          </w:p>
        </w:tc>
      </w:tr>
    </w:tbl>
    <w:p>
      <w:pPr>
        <w:pStyle w:val="Heading3"/>
      </w:pPr>
      <w:r>
        <w:t>Résumé :</w:t>
      </w:r>
    </w:p>
    <w:p>
      <w:r>
        <w:t>Cet ouvrage est conçu pour renforcer les compétences en calcul des probabilités des étudiants, en leur fournissant des outils pour résoudre des problèmes concrets et développer une compréhension approfondie du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