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Vibrations et chocs mécaniques. T3</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Lalanne, Christian/ </w:t>
            </w:r>
          </w:p>
        </w:tc>
      </w:tr>
      <w:tr>
        <w:trPr>
          <w:trHeight w:val="567"/>
        </w:trPr>
        <w:tc>
          <w:tcPr>
            <w:tcW w:type="dxa" w:w="3000"/>
          </w:tcPr>
          <w:p>
            <w:r>
              <w:t>Adresse bib.</w:t>
            </w:r>
          </w:p>
        </w:tc>
        <w:tc>
          <w:tcPr>
            <w:tcW w:type="dxa" w:w="7000"/>
          </w:tcPr>
          <w:p>
            <w:r>
              <w:t xml:space="preserve">Hermès science publications/ </w:t>
            </w:r>
          </w:p>
        </w:tc>
      </w:tr>
      <w:tr>
        <w:trPr>
          <w:trHeight w:val="567"/>
        </w:trPr>
        <w:tc>
          <w:tcPr>
            <w:tcW w:type="dxa" w:w="3000"/>
          </w:tcPr>
          <w:p>
            <w:r>
              <w:t>Nombre de Pages</w:t>
            </w:r>
          </w:p>
        </w:tc>
        <w:tc>
          <w:tcPr>
            <w:tcW w:type="dxa" w:w="7000"/>
          </w:tcPr>
          <w:p>
            <w:r>
              <w:t>373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2746200376</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mécanique/ </w:t>
            </w:r>
          </w:p>
        </w:tc>
      </w:tr>
      <w:tr>
        <w:trPr>
          <w:trHeight w:val="567"/>
        </w:trPr>
        <w:tc>
          <w:tcPr>
            <w:tcW w:type="dxa" w:w="3000"/>
          </w:tcPr>
          <w:p>
            <w:r>
              <w:t>Sujet(s)</w:t>
            </w:r>
          </w:p>
        </w:tc>
        <w:tc>
          <w:tcPr>
            <w:tcW w:type="dxa" w:w="7000"/>
          </w:tcPr>
          <w:p>
            <w:r>
              <w:t xml:space="preserve">choc/ vibration/ </w:t>
            </w:r>
          </w:p>
        </w:tc>
      </w:tr>
    </w:tbl>
    <w:p>
      <w:pPr>
        <w:pStyle w:val="Heading3"/>
      </w:pPr>
      <w:r>
        <w:t>Résumé :</w:t>
      </w:r>
    </w:p>
    <w:p>
      <w:r>
        <w:t>L'ouvrage décrit les propriétés du signal qui permettent d'en simplifier l'analyse et rappelle la définition de la densité spectrale de puissance, en précisant les précautions à prendre pour son calcul. Il présente les propriétés statistiques du signal temporel et détermine en particulier la loi de distribution des maxima d'un signal aléatoire gaussien qui permet de simplifier les calculs du dommage par fatigue en un évitant direct des pics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