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rupture fragile et de l'endommagement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Lamon, Jacques/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Numéro d'Identification</w:t>
            </w:r>
          </w:p>
        </w:tc>
        <w:tc>
          <w:tcPr>
            <w:tcW w:type="dxa" w:w="7000"/>
          </w:tcPr>
          <w:p>
            <w:r>
              <w:t>9782746217072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la rupture/ matériaux/ </w:t>
            </w:r>
          </w:p>
        </w:tc>
      </w:tr>
    </w:tbl>
    <w:p>
      <w:pPr>
        <w:pStyle w:val="Heading3"/>
      </w:pPr>
      <w:r>
        <w:t>Résumé :</w:t>
      </w:r>
    </w:p>
    <w:p>
      <w:r>
        <w:t>Cet ouvrage analyse le phénomène de la rupture fragile, son caractère aléatoire et les conséquences de la présence de populations de défauts dans les matériaux. Il présente les approches stochastiques de la rupture fragile et les méthodes de prévision sous des conditions diverses. Il étudie divers modèles tels que celui de Weibull et des approches plus fondamentales qui reposent sur la loi de distribution des défauts et le concept de contrainte élémentaire multiaxiale.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