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Réglementation technique de la maison individuelle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Laedlein, Hervé/ Desmadryl,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CATED(N°:None)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habitation individuelle/ maison individuelle/ </w:t>
            </w:r>
          </w:p>
        </w:tc>
      </w:tr>
    </w:tbl>
    <w:p>
      <w:pPr>
        <w:pStyle w:val="Heading3"/>
      </w:pPr>
      <w:r>
        <w:t>Résumé :</w:t>
      </w:r>
    </w:p>
    <w:p>
      <w:r>
        <w:t>L’ouvrage Réglementation technique de la maison individuelle – guide pratique du constructeur de Hervé Laedlein présente de manière claire et pratique l’ensemble des règles qui encadrent la construction d’une maison individuelle. L’auteur explique que la réussite d’un projet ne dépend pas uniquement des compétences techniques, mais surtout du respect des réglementations, normes et règles professionnelles qui garantissent la sécurité, la durabilité et le confort des occupants. Il détaille les différents types de textes (règlements obligatoires, normes et règles techniques) et montre comment ils s’appliquent concrètement aux différentes étapes de la construction, depuis la conception jusqu’à la réalisation, en passant par le choix des matériaux et des équipements. L’ouvrage aborde également les exigences liées au confort (thermique, acoustique, ventilation), à la sécurité (notamment incendie) et à l’hygiène, tout en insistant sur la responsabilité du constructeur dans le respect de ces règles. Ainsi, ce guide constitue un outil essentiel pour comprendre et appliquer la réglementation afin de réaliser des habitations conformes, sûres et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